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Fagersta kommunfullmäktige</w:t>
      </w:r>
    </w:p>
    <w:p>
      <w:pPr>
        <w:pStyle w:val="Heading1"/>
      </w:pPr>
      <w:r>
        <w:t xml:space="preserve">Språkkrav och arbetsnära 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Fagersta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Fagersta är 18 % (Arbetsförmedlingen 2025). Språk och arbete är nycklar till integration. Kommunen behöver tydligare krav och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Fagersta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arbetspraktik inom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språkutbildning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sysselsättningsgrad för nyanlända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demokratiska värderingskurser som del av etableringen.</w:t>
      </w:r>
    </w:p>
    <w:p>
      <w:pPr>
        <w:spacing w:before="360"/>
      </w:pPr>
    </w:p>
    <w:p>
      <w:r>
        <w:t xml:space="preserve">Fagersta,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Fagersta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2026-07-14T02:51:07.995Z</dcterms:created>
  <dcterms:modified xsi:type="dcterms:W3CDTF">2026-07-14T02:51:07.995Z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